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Lines="100" w:after="100" w:afterAutospacing="1" w:line="560" w:lineRule="exact"/>
        <w:jc w:val="center"/>
        <w:rPr>
          <w:rFonts w:ascii="微软雅黑" w:hAnsi="微软雅黑" w:eastAsia="微软雅黑" w:cs="微软雅黑"/>
          <w:bCs/>
          <w:kern w:val="0"/>
        </w:rPr>
      </w:pPr>
      <w:r>
        <w:rPr>
          <w:rFonts w:hint="eastAsia" w:ascii="微软雅黑" w:hAnsi="微软雅黑" w:eastAsia="微软雅黑" w:cs="微软雅黑"/>
          <w:bCs/>
          <w:color w:val="FF0000"/>
          <w:kern w:val="0"/>
          <w:sz w:val="36"/>
          <w:szCs w:val="36"/>
        </w:rPr>
        <w:t>2013中国微营销精品案例申报表</w:t>
      </w:r>
      <w:r>
        <w:rPr>
          <w:rFonts w:hint="eastAsia" w:ascii="黑体" w:hAnsi="Arial" w:eastAsia="黑体" w:cs="Arial"/>
          <w:bCs/>
          <w:color w:val="FF0000"/>
          <w:kern w:val="0"/>
          <w:sz w:val="36"/>
          <w:szCs w:val="36"/>
        </w:rPr>
        <w:t xml:space="preserve"> </w:t>
      </w:r>
      <w:r>
        <w:rPr>
          <w:rFonts w:hint="eastAsia" w:ascii="黑体" w:hAnsi="Arial" w:eastAsia="黑体" w:cs="Arial"/>
          <w:bCs/>
          <w:color w:val="000000"/>
          <w:kern w:val="0"/>
          <w:sz w:val="36"/>
          <w:szCs w:val="36"/>
        </w:rPr>
        <w:t xml:space="preserve">  </w:t>
      </w:r>
      <w:r>
        <w:rPr>
          <w:rFonts w:hint="eastAsia" w:ascii="黑体" w:hAnsi="Arial" w:eastAsia="黑体" w:cs="Arial"/>
          <w:bCs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bCs/>
          <w:kern w:val="0"/>
        </w:rPr>
        <w:t xml:space="preserve">         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>
        <w:trPr>
          <w:trHeight w:val="395" w:hRule="atLeast"/>
        </w:trPr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案例名称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c>
          <w:tcPr>
            <w:tcW w:w="1870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c>
          <w:tcPr>
            <w:tcW w:w="33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kern w:val="0"/>
              </w:rPr>
              <w:t>案例类别（微博、微信、微电影、整合类）</w:t>
            </w:r>
          </w:p>
        </w:tc>
        <w:tc>
          <w:tcPr>
            <w:tcW w:w="5153" w:type="dxa"/>
            <w:gridSpan w:val="8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c>
          <w:tcPr>
            <w:tcW w:w="8522" w:type="dxa"/>
            <w:gridSpan w:val="1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969696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c>
          <w:tcPr>
            <w:tcW w:w="1526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  <w:vAlign w:val="top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</w:tc>
      </w:tr>
      <w:tr>
        <w:tc>
          <w:tcPr>
            <w:tcW w:w="8522" w:type="dxa"/>
            <w:gridSpan w:val="1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申报理由：（请阅读表格后的注意事项）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</w:rPr>
              <w:t>案例背景：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策略：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创意：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执行：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5、效果：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  <w:shd w:val="pct10" w:color="auto" w:fill="FFFFFF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6、客户评价（要求填写客户的职务和姓名）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日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>
        <w:trPr>
          <w:trHeight w:val="413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曹礼财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010-56201259</w:t>
            </w:r>
          </w:p>
        </w:tc>
      </w:tr>
      <w:tr>
        <w:trPr>
          <w:trHeight w:val="412" w:hRule="atLeast"/>
        </w:trPr>
        <w:tc>
          <w:tcPr>
            <w:tcW w:w="1614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weishengdian@126.com</w:t>
            </w:r>
          </w:p>
        </w:tc>
      </w:tr>
    </w:tbl>
    <w:p>
      <w:pPr>
        <w:widowControl/>
        <w:spacing w:beforeLines="50" w:afterLines="50" w:line="400" w:lineRule="exact"/>
        <w:rPr>
          <w:rFonts w:ascii="微软雅黑" w:hAnsi="微软雅黑" w:eastAsia="微软雅黑" w:cs="微软雅黑"/>
          <w:b/>
          <w:color w:val="FF0000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</w:rPr>
        <w:t>注意事项（烦请仔细阅读）：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第一轮案例征集截止时间2013年11月29日18:00；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申报人须对申报材料的真实性负责；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申报案例项目执行时间必须为2013年1月1日之后；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相关案例作品（平面、视频、音频等）可用单独文件配合申报表一并发送，供评委参考；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执行效果中，至少引用一家第三方公司的评估数据；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客户评价须为广告主营销部门的项目对接人，应具体落实到职务和人名，评审团有权对客户评价的真实性进行核实；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案例申报材料不少于1200字，不超过3000字。</w:t>
      </w:r>
    </w:p>
    <w:p>
      <w:pPr>
        <w:widowControl/>
        <w:numPr>
          <w:ilvl w:val="0"/>
          <w:numId w:val="2"/>
        </w:numPr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本案例申报为免费申报，获奖数量不超过总数量的50%，如未获奖，全程不产生任何费用。获奖案例需支付</w:t>
      </w:r>
      <w:r>
        <w:rPr>
          <w:rFonts w:hint="eastAsia" w:ascii="微软雅黑" w:hAnsi="微软雅黑" w:eastAsia="微软雅黑" w:cs="微软雅黑"/>
          <w:lang w:val="en-US" w:eastAsia="zh-CN"/>
        </w:rPr>
        <w:t>1</w:t>
      </w:r>
      <w:r>
        <w:rPr>
          <w:rFonts w:hint="eastAsia" w:ascii="微软雅黑" w:hAnsi="微软雅黑" w:eastAsia="微软雅黑" w:cs="微软雅黑"/>
        </w:rPr>
        <w:t>800元/件的成本费，含专家评审费、活动场地费用、奖杯制作费用、媒体宣传费用、年鉴</w:t>
      </w:r>
      <w:r>
        <w:rPr>
          <w:rFonts w:hint="eastAsia" w:ascii="微软雅黑" w:hAnsi="微软雅黑" w:eastAsia="微软雅黑" w:cs="微软雅黑"/>
          <w:lang w:eastAsia="zh-CN"/>
        </w:rPr>
        <w:t>编辑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eastAsia="zh-CN"/>
        </w:rPr>
        <w:t>排版</w:t>
      </w:r>
      <w:r>
        <w:rPr>
          <w:rFonts w:hint="eastAsia" w:ascii="微软雅黑" w:hAnsi="微软雅黑" w:eastAsia="微软雅黑" w:cs="微软雅黑"/>
        </w:rPr>
        <w:t>费用等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指导单位：</w:t>
      </w:r>
      <w:r>
        <w:rPr>
          <w:rFonts w:ascii="微软雅黑" w:hAnsi="微软雅黑" w:eastAsia="微软雅黑" w:cs="微软雅黑"/>
        </w:rPr>
        <w:t>北京大学  中国传媒大学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</w:rPr>
        <w:t>战略合作：</w:t>
      </w:r>
      <w:r>
        <w:rPr>
          <w:rFonts w:ascii="微软雅黑" w:hAnsi="微软雅黑" w:eastAsia="微软雅黑" w:cs="微软雅黑"/>
        </w:rPr>
        <w:t>腾讯微生活  新浪微博、中国微电影协会、全球品牌内容营销协会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主办机构：</w:t>
      </w:r>
      <w:r>
        <w:rPr>
          <w:rFonts w:ascii="微软雅黑" w:hAnsi="微软雅黑" w:eastAsia="微软雅黑" w:cs="宋体"/>
          <w:kern w:val="0"/>
          <w:szCs w:val="21"/>
        </w:rPr>
        <w:t>TopMarketing</w:t>
      </w:r>
      <w:r>
        <w:rPr>
          <w:rFonts w:hint="eastAsia" w:ascii="微软雅黑" w:hAnsi="微软雅黑" w:eastAsia="微软雅黑" w:cs="宋体"/>
          <w:kern w:val="0"/>
          <w:szCs w:val="21"/>
        </w:rPr>
        <w:t>（</w:t>
      </w:r>
      <w:r>
        <w:fldChar w:fldCharType="begin"/>
      </w:r>
      <w:r>
        <w:instrText xml:space="preserve">HYPERLINK "http://www.itopmarketing.com/"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kern w:val="0"/>
          <w:szCs w:val="21"/>
        </w:rPr>
        <w:t>www.itopmarketing.com</w:t>
      </w:r>
      <w:r>
        <w:fldChar w:fldCharType="end"/>
      </w:r>
      <w:r>
        <w:rPr>
          <w:rFonts w:hint="eastAsia" w:ascii="微软雅黑" w:hAnsi="微软雅黑" w:eastAsia="微软雅黑" w:cs="宋体"/>
          <w:kern w:val="0"/>
          <w:szCs w:val="21"/>
        </w:rPr>
        <w:t>）</w:t>
      </w:r>
    </w:p>
    <w:p>
      <w:pPr>
        <w:widowControl/>
        <w:spacing w:line="400" w:lineRule="exact"/>
        <w:rPr>
          <w:rFonts w:ascii="微软雅黑" w:hAnsi="微软雅黑" w:eastAsia="微软雅黑"/>
        </w:rPr>
      </w:pP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评审团专家（部分）：</w:t>
      </w:r>
      <w:r>
        <w:rPr>
          <w:rFonts w:ascii="微软雅黑" w:hAnsi="微软雅黑" w:eastAsia="微软雅黑" w:cs="宋体"/>
          <w:b/>
          <w:kern w:val="0"/>
          <w:szCs w:val="21"/>
        </w:rPr>
        <w:br/>
      </w:r>
      <w:r>
        <w:rPr>
          <w:rFonts w:ascii="微软雅黑" w:hAnsi="微软雅黑" w:eastAsia="微软雅黑" w:cs="微软雅黑"/>
        </w:rPr>
        <w:t>陈慧菱   </w:t>
      </w:r>
      <w:r>
        <w:rPr>
          <w:rFonts w:hint="eastAsia" w:ascii="微软雅黑" w:hAnsi="微软雅黑" w:eastAsia="微软雅黑" w:cs="微软雅黑"/>
        </w:rPr>
        <w:t>联想LBG创新媒体与数字</w:t>
      </w:r>
      <w:r>
        <w:rPr>
          <w:rFonts w:ascii="微软雅黑" w:hAnsi="微软雅黑" w:eastAsia="微软雅黑" w:cs="微软雅黑"/>
        </w:rPr>
        <w:t>营销总监                                 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吴景璇    拉芳集团副总裁</w:t>
      </w:r>
      <w:r>
        <w:rPr>
          <w:rFonts w:ascii="微软雅黑" w:hAnsi="微软雅黑" w:eastAsia="微软雅黑" w:cs="微软雅黑"/>
        </w:rPr>
        <w:br/>
      </w:r>
      <w:r>
        <w:rPr>
          <w:rFonts w:ascii="微软雅黑" w:hAnsi="微软雅黑" w:eastAsia="微软雅黑" w:cs="微软雅黑"/>
        </w:rPr>
        <w:t>范小青   中央民族大学新闻传播学院副教授          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 陈    欧     聚美优品CEO</w:t>
      </w:r>
      <w:r>
        <w:rPr>
          <w:rFonts w:ascii="微软雅黑" w:hAnsi="微软雅黑" w:eastAsia="微软雅黑" w:cs="微软雅黑"/>
        </w:rPr>
        <w:br/>
      </w:r>
      <w:r>
        <w:rPr>
          <w:rFonts w:ascii="微软雅黑" w:hAnsi="微软雅黑" w:eastAsia="微软雅黑" w:cs="微软雅黑"/>
        </w:rPr>
        <w:t>陈   场    银鹭副总经理                                                    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段    冬    58同城副总裁</w:t>
      </w:r>
      <w:r>
        <w:rPr>
          <w:rFonts w:ascii="微软雅黑" w:hAnsi="微软雅黑" w:eastAsia="微软雅黑" w:cs="微软雅黑"/>
        </w:rPr>
        <w:br/>
      </w:r>
      <w:r>
        <w:rPr>
          <w:rFonts w:ascii="微软雅黑" w:hAnsi="微软雅黑" w:eastAsia="微软雅黑" w:cs="微软雅黑"/>
        </w:rPr>
        <w:t>易小星   知名微电影导演                                               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胡    戈     知名微电影导演</w:t>
      </w:r>
      <w:r>
        <w:rPr>
          <w:rFonts w:ascii="微软雅黑" w:hAnsi="微软雅黑" w:eastAsia="微软雅黑" w:cs="微软雅黑"/>
        </w:rPr>
        <w:br/>
      </w:r>
      <w:r>
        <w:rPr>
          <w:rFonts w:ascii="微软雅黑" w:hAnsi="微软雅黑" w:eastAsia="微软雅黑" w:cs="微软雅黑"/>
        </w:rPr>
        <w:t>朱玉卿   《综艺报》电影版主编                                                                                        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徐    菁    百度用户产品市场部总经理  </w:t>
      </w:r>
      <w:r>
        <w:rPr>
          <w:rFonts w:ascii="微软雅黑" w:hAnsi="微软雅黑" w:eastAsia="微软雅黑" w:cs="微软雅黑"/>
        </w:rPr>
        <w:br/>
      </w:r>
      <w:r>
        <w:rPr>
          <w:rFonts w:ascii="微软雅黑" w:hAnsi="微软雅黑" w:eastAsia="微软雅黑" w:cs="微软雅黑"/>
        </w:rPr>
        <w:t>陈永东   知名IT博客、新媒体创意与营销副教授    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金鹏远    知名微营销创意人</w:t>
      </w:r>
      <w:r>
        <w:rPr>
          <w:rFonts w:ascii="微软雅黑" w:hAnsi="微软雅黑" w:eastAsia="微软雅黑" w:cs="微软雅黑"/>
        </w:rPr>
        <w:br/>
      </w:r>
      <w:r>
        <w:rPr>
          <w:rFonts w:ascii="微软雅黑" w:hAnsi="微软雅黑" w:eastAsia="微软雅黑" w:cs="微软雅黑"/>
        </w:rPr>
        <w:t>龚文祥    知名电商与新媒体专家                                  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耿志军     腾讯微生活负责人</w:t>
      </w:r>
    </w:p>
    <w:p>
      <w:pPr>
        <w:widowControl/>
        <w:spacing w:line="400" w:lineRule="exac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徐  扬   微博易CEO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single" w:color="auto" w:sz="4" w:space="1"/>
      </w:pBdr>
      <w:jc w:val="left"/>
    </w:pPr>
    <w:r>
      <w:rPr>
        <w:rFonts w:hint="eastAsia"/>
      </w:rPr>
      <w:t xml:space="preserve">                                                           </w:t>
    </w:r>
  </w:p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图片框 7" o:spid="_x0000_s1025" type="#_x0000_t75" style="height:435.75pt;width:414.75pt;rotation:0f;" o:ole="f" fillcolor="#FFFFFF" filled="f" o:preferrelative="t" stroked="f" coordorigin="0,0" coordsize="21600,21600">
          <v:fill on="f" color2="#FFFFFF" focus="0%"/>
          <v:imagedata gain="65536f" blacklevel="0f" gamma="0" o:title="LOGO-01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7536790">
    <w:nsid w:val="28626416"/>
    <w:multiLevelType w:val="multilevel"/>
    <w:tmpl w:val="28626416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69555578">
    <w:nsid w:val="6383657A"/>
    <w:multiLevelType w:val="multilevel"/>
    <w:tmpl w:val="6383657A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69555578"/>
  </w:num>
  <w:num w:numId="2">
    <w:abstractNumId w:val="677536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225</Words>
  <Characters>1287</Characters>
  <Lines>10</Lines>
  <Paragraphs>3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cp:lastModifiedBy>d</cp:lastModifiedBy>
  <dcterms:modified xsi:type="dcterms:W3CDTF">2013-11-11T13:20:28Z</dcterms:modified>
  <dc:title>2013年EMC娱乐营销盛典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